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318F" w14:textId="77777777" w:rsidR="001B1E7C" w:rsidRDefault="00614D38">
      <w:pPr>
        <w:spacing w:after="0" w:line="240" w:lineRule="auto"/>
        <w:rPr>
          <w:rFonts w:ascii="Arial" w:hAnsi="Arial" w:cs="Arial"/>
          <w:b/>
          <w:bCs/>
          <w:u w:val="single"/>
        </w:rPr>
      </w:pPr>
      <w:r>
        <w:rPr>
          <w:rFonts w:ascii="Arial" w:hAnsi="Arial" w:cs="Arial"/>
          <w:b/>
          <w:bCs/>
          <w:u w:val="single"/>
        </w:rPr>
        <w:t>Assistant Board and Governance Secretary</w:t>
      </w:r>
    </w:p>
    <w:p w14:paraId="1C7F3190" w14:textId="77777777" w:rsidR="001B1E7C" w:rsidRDefault="00614D38">
      <w:pPr>
        <w:spacing w:after="0" w:line="240" w:lineRule="auto"/>
      </w:pPr>
      <w:r>
        <w:rPr>
          <w:rFonts w:ascii="Arial" w:hAnsi="Arial" w:cs="Arial"/>
          <w:b/>
          <w:bCs/>
        </w:rPr>
        <w:br/>
        <w:t xml:space="preserve">Location: </w:t>
      </w:r>
      <w:r>
        <w:rPr>
          <w:rFonts w:ascii="Arial" w:hAnsi="Arial" w:cs="Arial"/>
        </w:rPr>
        <w:t>British Transport Police Authority (BTPA), 200 Buckingham Palace Road, London, SW1W 9TJ.</w:t>
      </w:r>
      <w:r>
        <w:rPr>
          <w:rFonts w:ascii="Arial" w:hAnsi="Arial" w:cs="Arial"/>
        </w:rPr>
        <w:br/>
      </w:r>
      <w:r>
        <w:rPr>
          <w:rFonts w:ascii="Arial" w:hAnsi="Arial" w:cs="Arial"/>
          <w:b/>
          <w:bCs/>
        </w:rPr>
        <w:t xml:space="preserve">Reports to: </w:t>
      </w:r>
      <w:r>
        <w:rPr>
          <w:rFonts w:ascii="Arial" w:hAnsi="Arial" w:cs="Arial"/>
        </w:rPr>
        <w:t>Board and Governance Secretary (BTPA).</w:t>
      </w:r>
      <w:r>
        <w:rPr>
          <w:rFonts w:ascii="Arial" w:hAnsi="Arial" w:cs="Arial"/>
          <w:b/>
          <w:bCs/>
        </w:rPr>
        <w:br/>
        <w:t xml:space="preserve">Salary: </w:t>
      </w:r>
      <w:r>
        <w:rPr>
          <w:rFonts w:ascii="Arial" w:hAnsi="Arial" w:cs="Arial"/>
        </w:rPr>
        <w:t>£42,250 – £49,915 per annum plus £4,613.61 Police Staff London Allowance per annum.</w:t>
      </w:r>
      <w:r>
        <w:rPr>
          <w:rFonts w:ascii="Arial" w:hAnsi="Arial" w:cs="Arial"/>
          <w:b/>
          <w:bCs/>
        </w:rPr>
        <w:br/>
        <w:t xml:space="preserve">Contract Type: </w:t>
      </w:r>
      <w:r>
        <w:rPr>
          <w:rFonts w:ascii="Arial" w:hAnsi="Arial" w:cs="Arial"/>
        </w:rPr>
        <w:t>Permanent / Full-time including compressed hours / job share.</w:t>
      </w:r>
    </w:p>
    <w:p w14:paraId="1C7F3191" w14:textId="77777777" w:rsidR="001B1E7C" w:rsidRDefault="001B1E7C">
      <w:pPr>
        <w:spacing w:after="0" w:line="240" w:lineRule="auto"/>
        <w:rPr>
          <w:rFonts w:ascii="Arial" w:hAnsi="Arial" w:cs="Arial"/>
        </w:rPr>
      </w:pPr>
    </w:p>
    <w:p w14:paraId="1C7F3192" w14:textId="77777777" w:rsidR="001B1E7C" w:rsidRDefault="00614D38">
      <w:pPr>
        <w:spacing w:after="0" w:line="240" w:lineRule="auto"/>
        <w:rPr>
          <w:rFonts w:ascii="Arial" w:hAnsi="Arial" w:cs="Arial"/>
          <w:b/>
          <w:bCs/>
          <w:u w:val="single"/>
        </w:rPr>
      </w:pPr>
      <w:r>
        <w:rPr>
          <w:rFonts w:ascii="Arial" w:hAnsi="Arial" w:cs="Arial"/>
          <w:b/>
          <w:bCs/>
          <w:u w:val="single"/>
        </w:rPr>
        <w:t>Role Purpose</w:t>
      </w:r>
    </w:p>
    <w:p w14:paraId="1C7F3193" w14:textId="77777777" w:rsidR="001B1E7C" w:rsidRDefault="001B1E7C">
      <w:pPr>
        <w:spacing w:after="0" w:line="240" w:lineRule="auto"/>
        <w:rPr>
          <w:rFonts w:ascii="Arial" w:hAnsi="Arial" w:cs="Arial"/>
          <w:b/>
          <w:bCs/>
          <w:u w:val="single"/>
        </w:rPr>
      </w:pPr>
    </w:p>
    <w:p w14:paraId="1C7F3194" w14:textId="77777777" w:rsidR="001B1E7C" w:rsidRDefault="00614D38">
      <w:pPr>
        <w:spacing w:after="0" w:line="240" w:lineRule="auto"/>
        <w:rPr>
          <w:rFonts w:ascii="Arial" w:hAnsi="Arial" w:cs="Arial"/>
        </w:rPr>
      </w:pPr>
      <w:r>
        <w:rPr>
          <w:rFonts w:ascii="Arial" w:hAnsi="Arial" w:cs="Arial"/>
        </w:rPr>
        <w:t xml:space="preserve">The Assistant Board and Governance Secretary </w:t>
      </w:r>
      <w:proofErr w:type="gramStart"/>
      <w:r>
        <w:rPr>
          <w:rFonts w:ascii="Arial" w:hAnsi="Arial" w:cs="Arial"/>
        </w:rPr>
        <w:t>supports</w:t>
      </w:r>
      <w:proofErr w:type="gramEnd"/>
      <w:r>
        <w:rPr>
          <w:rFonts w:ascii="Arial" w:hAnsi="Arial" w:cs="Arial"/>
        </w:rPr>
        <w:t xml:space="preserve"> the effective operation of the British Transport Police Authority’s (BTPA) governance and oversight work. Reporting to the Board and Governance Secretary, the postholder plays a key role in supporting the Full Authority and committee operations and ensuring governance processes are delivered to a high standard. This role assists in the coordination of Member oversight activities, contributes to policy and regulatory compliance and supports continuous improvement across governance practices. It strengthens the team’s resilience while offering opportunities for professional growth, including support to achieve recognised governance qualifications. </w:t>
      </w:r>
    </w:p>
    <w:p w14:paraId="1C7F3195" w14:textId="77777777" w:rsidR="001B1E7C" w:rsidRDefault="001B1E7C">
      <w:pPr>
        <w:spacing w:after="0" w:line="240" w:lineRule="auto"/>
        <w:rPr>
          <w:rFonts w:ascii="Arial" w:hAnsi="Arial" w:cs="Arial"/>
        </w:rPr>
      </w:pPr>
    </w:p>
    <w:p w14:paraId="1C7F3196" w14:textId="77777777" w:rsidR="001B1E7C" w:rsidRDefault="00614D38">
      <w:pPr>
        <w:spacing w:after="0" w:line="240" w:lineRule="auto"/>
        <w:rPr>
          <w:rFonts w:ascii="Arial" w:hAnsi="Arial" w:cs="Arial"/>
          <w:b/>
          <w:bCs/>
          <w:u w:val="single"/>
        </w:rPr>
      </w:pPr>
      <w:r>
        <w:rPr>
          <w:rFonts w:ascii="Arial" w:hAnsi="Arial" w:cs="Arial"/>
          <w:b/>
          <w:bCs/>
          <w:u w:val="single"/>
        </w:rPr>
        <w:t>Key Responsibilities</w:t>
      </w:r>
    </w:p>
    <w:p w14:paraId="1C7F3197" w14:textId="77777777" w:rsidR="001B1E7C" w:rsidRDefault="001B1E7C">
      <w:pPr>
        <w:spacing w:after="0" w:line="240" w:lineRule="auto"/>
        <w:rPr>
          <w:rFonts w:ascii="Arial" w:hAnsi="Arial" w:cs="Arial"/>
          <w:b/>
          <w:bCs/>
          <w:u w:val="single"/>
        </w:rPr>
      </w:pPr>
    </w:p>
    <w:p w14:paraId="1C7F3198" w14:textId="77777777" w:rsidR="001B1E7C" w:rsidRDefault="00614D38">
      <w:pPr>
        <w:spacing w:after="0" w:line="240" w:lineRule="auto"/>
        <w:rPr>
          <w:rFonts w:ascii="Arial" w:hAnsi="Arial" w:cs="Arial"/>
          <w:b/>
          <w:bCs/>
          <w:u w:val="single"/>
        </w:rPr>
      </w:pPr>
      <w:r>
        <w:rPr>
          <w:rFonts w:ascii="Arial" w:hAnsi="Arial" w:cs="Arial"/>
          <w:b/>
          <w:bCs/>
          <w:u w:val="single"/>
        </w:rPr>
        <w:t>Member Oversight and Support</w:t>
      </w:r>
    </w:p>
    <w:p w14:paraId="1C7F3199" w14:textId="77777777" w:rsidR="001B1E7C" w:rsidRDefault="00614D38">
      <w:pPr>
        <w:numPr>
          <w:ilvl w:val="0"/>
          <w:numId w:val="1"/>
        </w:numPr>
        <w:spacing w:after="0" w:line="240" w:lineRule="auto"/>
        <w:rPr>
          <w:rFonts w:ascii="Arial" w:hAnsi="Arial" w:cs="Arial"/>
        </w:rPr>
      </w:pPr>
      <w:r>
        <w:rPr>
          <w:rFonts w:ascii="Arial" w:hAnsi="Arial" w:cs="Arial"/>
        </w:rPr>
        <w:t xml:space="preserve">Lead the end-to-end onboarding, induction and ongoing development of Authority Members, including the Chair and Deputy Chair, ensuring a high-quality and strategically aligned programme that supports Members to perform their oversight duties effectively from appointment onwards. </w:t>
      </w:r>
    </w:p>
    <w:p w14:paraId="1C7F319A" w14:textId="77777777" w:rsidR="001B1E7C" w:rsidRDefault="00614D38">
      <w:pPr>
        <w:pStyle w:val="NormalWeb"/>
        <w:numPr>
          <w:ilvl w:val="0"/>
          <w:numId w:val="1"/>
        </w:numPr>
        <w:spacing w:before="0" w:after="0"/>
      </w:pPr>
      <w:r>
        <w:rPr>
          <w:rStyle w:val="Emphasis"/>
          <w:rFonts w:ascii="Arial" w:hAnsi="Arial" w:cs="Arial"/>
          <w:i w:val="0"/>
          <w:iCs w:val="0"/>
        </w:rPr>
        <w:t>Assist in oversight of the accuracy, completeness, and timely maintenance of the Member Activity Log, ensuring it provides a credible and transparent record for inclusion in the externally published Annual Report.</w:t>
      </w:r>
    </w:p>
    <w:p w14:paraId="1C7F319B" w14:textId="77777777" w:rsidR="001B1E7C" w:rsidRDefault="00614D38">
      <w:pPr>
        <w:pStyle w:val="NormalWeb"/>
        <w:numPr>
          <w:ilvl w:val="0"/>
          <w:numId w:val="1"/>
        </w:numPr>
        <w:spacing w:before="0" w:after="0"/>
        <w:rPr>
          <w:rFonts w:ascii="Arial" w:hAnsi="Arial" w:cs="Arial"/>
        </w:rPr>
      </w:pPr>
      <w:r>
        <w:rPr>
          <w:rFonts w:ascii="Arial" w:hAnsi="Arial" w:cs="Arial"/>
        </w:rPr>
        <w:t>Assist in maintaining comprehensive Member oversight records and ensure proactive, timely follow</w:t>
      </w:r>
      <w:r>
        <w:rPr>
          <w:rFonts w:ascii="Arial" w:hAnsi="Arial" w:cs="Arial"/>
        </w:rPr>
        <w:noBreakHyphen/>
        <w:t>up on all Member actions and engagements.</w:t>
      </w:r>
    </w:p>
    <w:p w14:paraId="1C7F319C" w14:textId="77777777" w:rsidR="001B1E7C" w:rsidRDefault="00614D38">
      <w:pPr>
        <w:pStyle w:val="ListParagraph"/>
        <w:numPr>
          <w:ilvl w:val="0"/>
          <w:numId w:val="1"/>
        </w:numPr>
        <w:spacing w:after="0" w:line="240" w:lineRule="auto"/>
      </w:pPr>
      <w:r>
        <w:rPr>
          <w:rFonts w:ascii="Arial" w:eastAsia="Times New Roman" w:hAnsi="Arial" w:cs="Arial"/>
          <w:kern w:val="0"/>
          <w:lang w:eastAsia="en-GB"/>
        </w:rPr>
        <w:t>Assist in the systematic production of the weekly forward</w:t>
      </w:r>
      <w:r>
        <w:rPr>
          <w:rFonts w:ascii="Arial" w:eastAsia="Times New Roman" w:hAnsi="Arial" w:cs="Arial"/>
          <w:kern w:val="0"/>
          <w:lang w:eastAsia="en-GB"/>
        </w:rPr>
        <w:noBreakHyphen/>
        <w:t>look Member engagement grid, providing clear visibility of upcoming commitments and ensuring effective planning, coordination and resource utilisation across the Executive Team and its Members.</w:t>
      </w:r>
    </w:p>
    <w:p w14:paraId="1C7F319D" w14:textId="77777777" w:rsidR="001B1E7C" w:rsidRDefault="00614D38">
      <w:pPr>
        <w:numPr>
          <w:ilvl w:val="0"/>
          <w:numId w:val="1"/>
        </w:numPr>
        <w:spacing w:after="0" w:line="240" w:lineRule="auto"/>
        <w:rPr>
          <w:rFonts w:ascii="Arial" w:hAnsi="Arial" w:cs="Arial"/>
        </w:rPr>
      </w:pPr>
      <w:r>
        <w:rPr>
          <w:rFonts w:ascii="Arial" w:hAnsi="Arial" w:cs="Arial"/>
        </w:rPr>
        <w:t>Lead on succession planning for future Authority Members with our Department for Transport Sponsorship Team and Public Bodies Team.</w:t>
      </w:r>
    </w:p>
    <w:p w14:paraId="1C7F319E" w14:textId="77777777" w:rsidR="001B1E7C" w:rsidRDefault="00614D38">
      <w:pPr>
        <w:numPr>
          <w:ilvl w:val="0"/>
          <w:numId w:val="1"/>
        </w:numPr>
        <w:spacing w:after="0" w:line="240" w:lineRule="auto"/>
        <w:rPr>
          <w:rFonts w:ascii="Arial" w:hAnsi="Arial" w:cs="Arial"/>
        </w:rPr>
      </w:pPr>
      <w:r>
        <w:rPr>
          <w:rFonts w:ascii="Arial" w:hAnsi="Arial" w:cs="Arial"/>
        </w:rPr>
        <w:t xml:space="preserve">Provide strategic oversight and leadership of the process through which BTPA Members notify and seek approval from the Department for Transport for new roles or changes in employment, ensuring compliance with governance standards. </w:t>
      </w:r>
    </w:p>
    <w:p w14:paraId="1C7F319F" w14:textId="77777777" w:rsidR="001B1E7C" w:rsidRDefault="00614D38">
      <w:pPr>
        <w:numPr>
          <w:ilvl w:val="0"/>
          <w:numId w:val="1"/>
        </w:numPr>
        <w:spacing w:after="0" w:line="240" w:lineRule="auto"/>
      </w:pPr>
      <w:r>
        <w:rPr>
          <w:rFonts w:ascii="Arial" w:eastAsia="Times New Roman" w:hAnsi="Arial" w:cs="Arial"/>
          <w:kern w:val="0"/>
          <w:lang w:eastAsia="en-GB"/>
        </w:rPr>
        <w:t>Maintain up-to-date records of Member Register of Interests and supporting documentation to ensure transparency, accuracy and timely reporting.</w:t>
      </w:r>
      <w:r>
        <w:rPr>
          <w:rFonts w:ascii="Arial" w:hAnsi="Arial" w:cs="Arial"/>
        </w:rPr>
        <w:t xml:space="preserve"> </w:t>
      </w:r>
    </w:p>
    <w:p w14:paraId="1C7F31A0" w14:textId="77777777" w:rsidR="001B1E7C" w:rsidRDefault="00614D38">
      <w:pPr>
        <w:numPr>
          <w:ilvl w:val="0"/>
          <w:numId w:val="1"/>
        </w:numPr>
        <w:spacing w:after="0" w:line="240" w:lineRule="auto"/>
      </w:pPr>
      <w:r>
        <w:rPr>
          <w:rFonts w:ascii="Arial" w:hAnsi="Arial" w:cs="Arial"/>
        </w:rPr>
        <w:t>Assist in the coordination and delivery of the Member Oversight Programme, ensuring alignment with Authority priorities and governance standards.</w:t>
      </w:r>
    </w:p>
    <w:p w14:paraId="1C7F31A1" w14:textId="77777777" w:rsidR="001B1E7C" w:rsidRDefault="00614D38">
      <w:pPr>
        <w:numPr>
          <w:ilvl w:val="0"/>
          <w:numId w:val="1"/>
        </w:numPr>
        <w:spacing w:after="0" w:line="240" w:lineRule="auto"/>
      </w:pPr>
      <w:r>
        <w:rPr>
          <w:rFonts w:ascii="Arial" w:hAnsi="Arial" w:cs="Arial"/>
        </w:rPr>
        <w:t>Assist in the preparation of effective Member briefings, debriefings, updates and development materials supporting oversight of BTP.</w:t>
      </w:r>
    </w:p>
    <w:p w14:paraId="1C7F31A2" w14:textId="77777777" w:rsidR="001B1E7C" w:rsidRDefault="001B1E7C">
      <w:pPr>
        <w:spacing w:after="0" w:line="240" w:lineRule="auto"/>
        <w:rPr>
          <w:rFonts w:ascii="Arial" w:hAnsi="Arial" w:cs="Arial"/>
        </w:rPr>
      </w:pPr>
    </w:p>
    <w:p w14:paraId="1C7F31A3" w14:textId="77777777" w:rsidR="001B1E7C" w:rsidRDefault="001B1E7C">
      <w:pPr>
        <w:spacing w:after="0" w:line="240" w:lineRule="auto"/>
        <w:ind w:left="720"/>
        <w:rPr>
          <w:rFonts w:ascii="Arial" w:hAnsi="Arial" w:cs="Arial"/>
        </w:rPr>
      </w:pPr>
    </w:p>
    <w:p w14:paraId="1C7F31A4" w14:textId="77777777" w:rsidR="001B1E7C" w:rsidRDefault="00614D38">
      <w:pPr>
        <w:spacing w:after="0" w:line="240" w:lineRule="auto"/>
        <w:rPr>
          <w:rFonts w:ascii="Arial" w:hAnsi="Arial" w:cs="Arial"/>
          <w:b/>
          <w:bCs/>
          <w:u w:val="single"/>
        </w:rPr>
      </w:pPr>
      <w:r>
        <w:rPr>
          <w:rFonts w:ascii="Arial" w:hAnsi="Arial" w:cs="Arial"/>
          <w:b/>
          <w:bCs/>
          <w:u w:val="single"/>
        </w:rPr>
        <w:t>Board and Committee Operations</w:t>
      </w:r>
    </w:p>
    <w:p w14:paraId="1C7F31A5" w14:textId="77777777" w:rsidR="001B1E7C" w:rsidRDefault="00614D38">
      <w:pPr>
        <w:numPr>
          <w:ilvl w:val="0"/>
          <w:numId w:val="2"/>
        </w:numPr>
        <w:spacing w:after="0" w:line="240" w:lineRule="auto"/>
      </w:pPr>
      <w:r>
        <w:rPr>
          <w:rFonts w:ascii="Arial" w:hAnsi="Arial" w:cs="Arial"/>
        </w:rPr>
        <w:t>Support the planning and delivery of Authority and committee meetings, including agenda preparation, minute-taking and action tracking</w:t>
      </w:r>
      <w:r>
        <w:rPr>
          <w:rFonts w:ascii="Arial" w:hAnsi="Arial" w:cs="Arial"/>
          <w:kern w:val="0"/>
        </w:rPr>
        <w:t xml:space="preserve"> - </w:t>
      </w:r>
      <w:r>
        <w:rPr>
          <w:rFonts w:ascii="Arial" w:hAnsi="Arial" w:cs="Arial"/>
        </w:rPr>
        <w:t>the postholder will commission, quality-assure and communicate complex governance information using clear, concise and accessible language, ensuring senior stakeholders (including Authority Members, the Executive Team, BTP senior leaders and DfT officials) receive well</w:t>
      </w:r>
      <w:r>
        <w:rPr>
          <w:rFonts w:ascii="Arial" w:hAnsi="Arial" w:cs="Arial"/>
        </w:rPr>
        <w:noBreakHyphen/>
        <w:t>framed advice that supports effective oversight and decision</w:t>
      </w:r>
      <w:r>
        <w:rPr>
          <w:rFonts w:ascii="Arial" w:hAnsi="Arial" w:cs="Arial"/>
        </w:rPr>
        <w:noBreakHyphen/>
        <w:t>making.</w:t>
      </w:r>
    </w:p>
    <w:p w14:paraId="1C7F31A6" w14:textId="77777777" w:rsidR="001B1E7C" w:rsidRDefault="00614D38">
      <w:pPr>
        <w:numPr>
          <w:ilvl w:val="0"/>
          <w:numId w:val="2"/>
        </w:numPr>
        <w:spacing w:after="0" w:line="240" w:lineRule="auto"/>
        <w:rPr>
          <w:rFonts w:ascii="Arial" w:hAnsi="Arial" w:cs="Arial"/>
        </w:rPr>
      </w:pPr>
      <w:r>
        <w:rPr>
          <w:rFonts w:ascii="Arial" w:hAnsi="Arial" w:cs="Arial"/>
        </w:rPr>
        <w:t>Compile Full Authority and Committee agendas, meeting papers and packs which are produced and circulated, including received papers being reviewed for governance quality.</w:t>
      </w:r>
    </w:p>
    <w:p w14:paraId="1C7F31A7" w14:textId="77777777" w:rsidR="001B1E7C" w:rsidRDefault="00614D38">
      <w:pPr>
        <w:numPr>
          <w:ilvl w:val="0"/>
          <w:numId w:val="2"/>
        </w:numPr>
        <w:spacing w:after="0" w:line="240" w:lineRule="auto"/>
        <w:rPr>
          <w:rFonts w:ascii="Arial" w:hAnsi="Arial" w:cs="Arial"/>
        </w:rPr>
      </w:pPr>
      <w:r>
        <w:rPr>
          <w:rFonts w:ascii="Arial" w:hAnsi="Arial" w:cs="Arial"/>
        </w:rPr>
        <w:t>Ensure the timely and accurate distribution of board and committee papers in line with agreed deadlines, ensuring Members receive high</w:t>
      </w:r>
      <w:r>
        <w:rPr>
          <w:rFonts w:ascii="Arial" w:hAnsi="Arial" w:cs="Arial"/>
        </w:rPr>
        <w:noBreakHyphen/>
        <w:t>quality information that supports effective scrutiny, decision</w:t>
      </w:r>
      <w:r>
        <w:rPr>
          <w:rFonts w:ascii="Arial" w:hAnsi="Arial" w:cs="Arial"/>
        </w:rPr>
        <w:noBreakHyphen/>
        <w:t>making and accountability.</w:t>
      </w:r>
    </w:p>
    <w:p w14:paraId="1C7F31A8" w14:textId="77777777" w:rsidR="001B1E7C" w:rsidRDefault="00614D38">
      <w:pPr>
        <w:numPr>
          <w:ilvl w:val="0"/>
          <w:numId w:val="2"/>
        </w:numPr>
        <w:spacing w:after="0" w:line="240" w:lineRule="auto"/>
        <w:rPr>
          <w:rFonts w:ascii="Arial" w:hAnsi="Arial" w:cs="Arial"/>
        </w:rPr>
      </w:pPr>
      <w:r>
        <w:rPr>
          <w:rFonts w:ascii="Arial" w:hAnsi="Arial" w:cs="Arial"/>
        </w:rPr>
        <w:t>Maintain accurate records of meetings, minutes, decisions, matters arising and correspondence in accordance with governance requirements.</w:t>
      </w:r>
    </w:p>
    <w:p w14:paraId="1C7F31A9" w14:textId="77777777" w:rsidR="001B1E7C" w:rsidRDefault="00614D38">
      <w:pPr>
        <w:numPr>
          <w:ilvl w:val="0"/>
          <w:numId w:val="2"/>
        </w:numPr>
        <w:spacing w:after="0" w:line="240" w:lineRule="auto"/>
        <w:rPr>
          <w:rFonts w:ascii="Arial" w:hAnsi="Arial" w:cs="Arial"/>
        </w:rPr>
      </w:pPr>
      <w:r>
        <w:rPr>
          <w:rFonts w:ascii="Arial" w:hAnsi="Arial" w:cs="Arial"/>
        </w:rPr>
        <w:t xml:space="preserve">Provide strategic leadership for the design, development and delivery of the Authority’s annual business cycle, ensuring a coherent programme if activity through effective consultation and collaboration with the BTPA Chair, Executive Team and Force. </w:t>
      </w:r>
    </w:p>
    <w:p w14:paraId="1C7F31AA" w14:textId="77777777" w:rsidR="001B1E7C" w:rsidRDefault="001B1E7C">
      <w:pPr>
        <w:spacing w:after="0" w:line="240" w:lineRule="auto"/>
        <w:ind w:left="720"/>
        <w:rPr>
          <w:rFonts w:ascii="Arial" w:hAnsi="Arial" w:cs="Arial"/>
        </w:rPr>
      </w:pPr>
    </w:p>
    <w:p w14:paraId="1C7F31AB" w14:textId="77777777" w:rsidR="001B1E7C" w:rsidRDefault="00614D38">
      <w:pPr>
        <w:spacing w:after="0" w:line="240" w:lineRule="auto"/>
        <w:rPr>
          <w:rFonts w:ascii="Arial" w:hAnsi="Arial" w:cs="Arial"/>
          <w:b/>
          <w:bCs/>
          <w:u w:val="single"/>
        </w:rPr>
      </w:pPr>
      <w:r>
        <w:rPr>
          <w:rFonts w:ascii="Arial" w:hAnsi="Arial" w:cs="Arial"/>
          <w:b/>
          <w:bCs/>
          <w:u w:val="single"/>
        </w:rPr>
        <w:t>Governance and Compliance</w:t>
      </w:r>
    </w:p>
    <w:p w14:paraId="1C7F31AC" w14:textId="77777777" w:rsidR="001B1E7C" w:rsidRDefault="00614D38">
      <w:pPr>
        <w:pStyle w:val="ListParagraph"/>
        <w:numPr>
          <w:ilvl w:val="0"/>
          <w:numId w:val="3"/>
        </w:numPr>
        <w:spacing w:after="0" w:line="240" w:lineRule="auto"/>
        <w:rPr>
          <w:rFonts w:ascii="Arial" w:eastAsia="Times New Roman" w:hAnsi="Arial" w:cs="Arial"/>
          <w:kern w:val="0"/>
          <w:lang w:eastAsia="en-GB"/>
        </w:rPr>
      </w:pPr>
      <w:r>
        <w:rPr>
          <w:rFonts w:ascii="Arial" w:eastAsia="Times New Roman" w:hAnsi="Arial" w:cs="Arial"/>
          <w:kern w:val="0"/>
          <w:lang w:eastAsia="en-GB"/>
        </w:rPr>
        <w:t>Provide strategic support in maintaining, embedding and continually strengthening the Authority’s governance framework, including the Code of Governance and the Terms of Reference for all committees and the Full Authority, ensuring clarity of roles, decision</w:t>
      </w:r>
      <w:r>
        <w:rPr>
          <w:rFonts w:ascii="Arial" w:eastAsia="Times New Roman" w:hAnsi="Arial" w:cs="Arial"/>
          <w:kern w:val="0"/>
          <w:lang w:eastAsia="en-GB"/>
        </w:rPr>
        <w:noBreakHyphen/>
        <w:t>making, and accountability.</w:t>
      </w:r>
    </w:p>
    <w:p w14:paraId="1C7F31AD" w14:textId="77777777" w:rsidR="001B1E7C" w:rsidRDefault="00614D38">
      <w:pPr>
        <w:pStyle w:val="ListParagraph"/>
        <w:numPr>
          <w:ilvl w:val="0"/>
          <w:numId w:val="3"/>
        </w:numPr>
        <w:spacing w:after="0" w:line="240" w:lineRule="auto"/>
        <w:rPr>
          <w:rFonts w:ascii="Arial" w:eastAsia="Times New Roman" w:hAnsi="Arial" w:cs="Arial"/>
          <w:kern w:val="0"/>
          <w:lang w:eastAsia="en-GB"/>
        </w:rPr>
      </w:pPr>
      <w:r>
        <w:rPr>
          <w:rFonts w:ascii="Arial" w:eastAsia="Times New Roman" w:hAnsi="Arial" w:cs="Arial"/>
          <w:kern w:val="0"/>
          <w:lang w:eastAsia="en-GB"/>
        </w:rPr>
        <w:t>Work collaboratively with the Board and Governance Secretary to lead the annual review and refresh of governance documents, ensuring they remain current, compliant and aligned with best</w:t>
      </w:r>
      <w:r>
        <w:rPr>
          <w:rFonts w:ascii="Arial" w:eastAsia="Times New Roman" w:hAnsi="Arial" w:cs="Arial"/>
          <w:kern w:val="0"/>
          <w:lang w:eastAsia="en-GB"/>
        </w:rPr>
        <w:noBreakHyphen/>
        <w:t>practice public</w:t>
      </w:r>
      <w:r>
        <w:rPr>
          <w:rFonts w:ascii="Arial" w:eastAsia="Times New Roman" w:hAnsi="Arial" w:cs="Arial"/>
          <w:kern w:val="0"/>
          <w:lang w:eastAsia="en-GB"/>
        </w:rPr>
        <w:noBreakHyphen/>
        <w:t>sector governance standards.</w:t>
      </w:r>
    </w:p>
    <w:p w14:paraId="1C7F31AE" w14:textId="77777777" w:rsidR="001B1E7C" w:rsidRDefault="00614D38">
      <w:pPr>
        <w:pStyle w:val="NormalWeb"/>
        <w:numPr>
          <w:ilvl w:val="0"/>
          <w:numId w:val="3"/>
        </w:numPr>
        <w:spacing w:before="0" w:after="0"/>
      </w:pPr>
      <w:r>
        <w:rPr>
          <w:rStyle w:val="Emphasis"/>
          <w:rFonts w:ascii="Arial" w:hAnsi="Arial" w:cs="Arial"/>
          <w:i w:val="0"/>
          <w:iCs w:val="0"/>
        </w:rPr>
        <w:t>Coordinate and contribute to internal and external governance reviews, ensuring robust planning, evidence</w:t>
      </w:r>
      <w:r>
        <w:rPr>
          <w:rStyle w:val="Emphasis"/>
          <w:rFonts w:ascii="Arial" w:hAnsi="Arial" w:cs="Arial"/>
          <w:i w:val="0"/>
          <w:iCs w:val="0"/>
        </w:rPr>
        <w:noBreakHyphen/>
        <w:t>gathering, and follow</w:t>
      </w:r>
      <w:r>
        <w:rPr>
          <w:rStyle w:val="Emphasis"/>
          <w:rFonts w:ascii="Arial" w:hAnsi="Arial" w:cs="Arial"/>
          <w:i w:val="0"/>
          <w:iCs w:val="0"/>
        </w:rPr>
        <w:noBreakHyphen/>
        <w:t>up to support continuous improvement and provide assurance on the effectiveness of the Authority’s governance arrangements.</w:t>
      </w:r>
    </w:p>
    <w:p w14:paraId="1C7F31AF" w14:textId="77777777" w:rsidR="001B1E7C" w:rsidRDefault="00614D38">
      <w:pPr>
        <w:pStyle w:val="ListParagraph"/>
        <w:numPr>
          <w:ilvl w:val="0"/>
          <w:numId w:val="3"/>
        </w:numPr>
        <w:spacing w:after="0" w:line="240" w:lineRule="auto"/>
        <w:rPr>
          <w:rFonts w:ascii="Arial" w:eastAsia="Times New Roman" w:hAnsi="Arial" w:cs="Arial"/>
          <w:kern w:val="0"/>
          <w:lang w:eastAsia="en-GB"/>
        </w:rPr>
      </w:pPr>
      <w:r>
        <w:rPr>
          <w:rFonts w:ascii="Arial" w:eastAsia="Times New Roman" w:hAnsi="Arial" w:cs="Arial"/>
          <w:kern w:val="0"/>
          <w:lang w:eastAsia="en-GB"/>
        </w:rPr>
        <w:t>Monitor organisational compliance with statutory and regulatory requirements, including GDPR, and proactively support the updating of governance documentation to reflect legal changes, audit findings, and evolving best practice.</w:t>
      </w:r>
    </w:p>
    <w:p w14:paraId="1C7F31B0" w14:textId="77777777" w:rsidR="001B1E7C" w:rsidRDefault="001B1E7C">
      <w:pPr>
        <w:spacing w:after="0" w:line="240" w:lineRule="auto"/>
        <w:ind w:left="360"/>
        <w:rPr>
          <w:rFonts w:ascii="Arial" w:hAnsi="Arial" w:cs="Arial"/>
          <w:b/>
          <w:bCs/>
          <w:u w:val="single"/>
        </w:rPr>
      </w:pPr>
    </w:p>
    <w:p w14:paraId="1C7F31B1" w14:textId="77777777" w:rsidR="001B1E7C" w:rsidRDefault="001B1E7C">
      <w:pPr>
        <w:spacing w:after="0" w:line="240" w:lineRule="auto"/>
        <w:ind w:left="720"/>
        <w:rPr>
          <w:rFonts w:ascii="Arial" w:hAnsi="Arial" w:cs="Arial"/>
        </w:rPr>
      </w:pPr>
    </w:p>
    <w:p w14:paraId="1C7F31B2" w14:textId="77777777" w:rsidR="001B1E7C" w:rsidRDefault="00614D38">
      <w:pPr>
        <w:spacing w:after="0" w:line="240" w:lineRule="auto"/>
        <w:rPr>
          <w:rFonts w:ascii="Arial" w:hAnsi="Arial" w:cs="Arial"/>
          <w:b/>
          <w:bCs/>
          <w:u w:val="single"/>
        </w:rPr>
      </w:pPr>
      <w:r>
        <w:rPr>
          <w:rFonts w:ascii="Arial" w:hAnsi="Arial" w:cs="Arial"/>
          <w:b/>
          <w:bCs/>
          <w:u w:val="single"/>
        </w:rPr>
        <w:t>Policy and Regulatory Support</w:t>
      </w:r>
    </w:p>
    <w:p w14:paraId="1C7F31B3" w14:textId="77777777" w:rsidR="001B1E7C" w:rsidRDefault="00614D38">
      <w:pPr>
        <w:pStyle w:val="ListParagraph"/>
        <w:numPr>
          <w:ilvl w:val="0"/>
          <w:numId w:val="4"/>
        </w:numPr>
        <w:spacing w:after="0" w:line="240" w:lineRule="auto"/>
        <w:rPr>
          <w:rFonts w:ascii="Arial" w:eastAsia="Times New Roman" w:hAnsi="Arial" w:cs="Arial"/>
          <w:kern w:val="0"/>
          <w:lang w:eastAsia="en-GB"/>
        </w:rPr>
      </w:pPr>
      <w:r>
        <w:rPr>
          <w:rFonts w:ascii="Arial" w:eastAsia="Times New Roman" w:hAnsi="Arial" w:cs="Arial"/>
          <w:kern w:val="0"/>
          <w:lang w:eastAsia="en-GB"/>
        </w:rPr>
        <w:t>Provide authoritative input into the annual review, refresh and implementation of BTPA policies, ensuring they remain compliant with evolving legislation, regulatory standards and best</w:t>
      </w:r>
      <w:r>
        <w:rPr>
          <w:rFonts w:ascii="Arial" w:eastAsia="Times New Roman" w:hAnsi="Arial" w:cs="Arial"/>
          <w:kern w:val="0"/>
          <w:lang w:eastAsia="en-GB"/>
        </w:rPr>
        <w:noBreakHyphen/>
        <w:t>practice governance frameworks, and that they support effective oversight of the Force.</w:t>
      </w:r>
    </w:p>
    <w:p w14:paraId="1C7F31B4" w14:textId="77777777" w:rsidR="001B1E7C" w:rsidRDefault="00614D38">
      <w:pPr>
        <w:pStyle w:val="ListParagraph"/>
        <w:numPr>
          <w:ilvl w:val="0"/>
          <w:numId w:val="4"/>
        </w:numPr>
        <w:spacing w:after="0" w:line="240" w:lineRule="auto"/>
        <w:rPr>
          <w:rFonts w:ascii="Arial" w:eastAsia="Times New Roman" w:hAnsi="Arial" w:cs="Arial"/>
          <w:kern w:val="0"/>
          <w:lang w:eastAsia="en-GB"/>
        </w:rPr>
      </w:pPr>
      <w:r>
        <w:rPr>
          <w:rFonts w:ascii="Arial" w:eastAsia="Times New Roman" w:hAnsi="Arial" w:cs="Arial"/>
          <w:kern w:val="0"/>
          <w:lang w:eastAsia="en-GB"/>
        </w:rPr>
        <w:t>Maintain a proactive horizon</w:t>
      </w:r>
      <w:r>
        <w:rPr>
          <w:rFonts w:ascii="Arial" w:eastAsia="Times New Roman" w:hAnsi="Arial" w:cs="Arial"/>
          <w:kern w:val="0"/>
          <w:lang w:eastAsia="en-GB"/>
        </w:rPr>
        <w:noBreakHyphen/>
        <w:t>scanning approach to developments in public sector governance, regulatory expectations and ethical standards, translating emerging requirements into actionable insights to strengthen the Authority’s governance arrangements.</w:t>
      </w:r>
    </w:p>
    <w:p w14:paraId="1C7F31B5" w14:textId="77777777" w:rsidR="001B1E7C" w:rsidRDefault="001B1E7C">
      <w:pPr>
        <w:pStyle w:val="ListParagraph"/>
        <w:spacing w:after="0" w:line="240" w:lineRule="auto"/>
        <w:rPr>
          <w:rFonts w:ascii="Segoe UI" w:eastAsia="Times New Roman" w:hAnsi="Segoe UI" w:cs="Segoe UI"/>
          <w:kern w:val="0"/>
          <w:sz w:val="21"/>
          <w:szCs w:val="21"/>
          <w:lang w:eastAsia="en-GB"/>
        </w:rPr>
      </w:pPr>
    </w:p>
    <w:p w14:paraId="1C7F31B6" w14:textId="77777777" w:rsidR="001B1E7C" w:rsidRDefault="001B1E7C">
      <w:pPr>
        <w:spacing w:after="0" w:line="240" w:lineRule="auto"/>
        <w:ind w:left="720"/>
        <w:rPr>
          <w:rFonts w:ascii="Arial" w:hAnsi="Arial" w:cs="Arial"/>
        </w:rPr>
      </w:pPr>
    </w:p>
    <w:p w14:paraId="1C7F31B7" w14:textId="77777777" w:rsidR="001B1E7C" w:rsidRDefault="00614D38">
      <w:pPr>
        <w:spacing w:after="0" w:line="240" w:lineRule="auto"/>
        <w:rPr>
          <w:rFonts w:ascii="Arial" w:hAnsi="Arial" w:cs="Arial"/>
          <w:b/>
          <w:bCs/>
          <w:u w:val="single"/>
        </w:rPr>
      </w:pPr>
      <w:r>
        <w:rPr>
          <w:rFonts w:ascii="Arial" w:hAnsi="Arial" w:cs="Arial"/>
          <w:b/>
          <w:bCs/>
          <w:u w:val="single"/>
        </w:rPr>
        <w:t>Stakeholder Engagement and Communication</w:t>
      </w:r>
    </w:p>
    <w:p w14:paraId="1C7F31B8" w14:textId="77777777" w:rsidR="001B1E7C" w:rsidRDefault="00614D38">
      <w:pPr>
        <w:pStyle w:val="ListParagraph"/>
        <w:numPr>
          <w:ilvl w:val="0"/>
          <w:numId w:val="5"/>
        </w:numPr>
        <w:spacing w:after="0" w:line="240" w:lineRule="auto"/>
        <w:rPr>
          <w:rFonts w:ascii="Arial" w:eastAsia="Times New Roman" w:hAnsi="Arial" w:cs="Arial"/>
          <w:kern w:val="0"/>
          <w:lang w:eastAsia="en-GB"/>
        </w:rPr>
      </w:pPr>
      <w:r>
        <w:rPr>
          <w:rFonts w:ascii="Arial" w:eastAsia="Times New Roman" w:hAnsi="Arial" w:cs="Arial"/>
          <w:kern w:val="0"/>
          <w:lang w:eastAsia="en-GB"/>
        </w:rPr>
        <w:t>Cultivate and sustain influential, trust</w:t>
      </w:r>
      <w:r>
        <w:rPr>
          <w:rFonts w:ascii="Arial" w:eastAsia="Times New Roman" w:hAnsi="Arial" w:cs="Arial"/>
          <w:kern w:val="0"/>
          <w:lang w:eastAsia="en-GB"/>
        </w:rPr>
        <w:noBreakHyphen/>
        <w:t>based relationships with Authority Members, the Executive Team, BTP leadership and key external partners, including the Department for Transport, to enable effective governance, enhance organisational insight and ensure cohesive delivery of the Authority’s strategic objectives.</w:t>
      </w:r>
    </w:p>
    <w:p w14:paraId="1C7F31B9" w14:textId="77777777" w:rsidR="001B1E7C" w:rsidRDefault="00614D38">
      <w:pPr>
        <w:pStyle w:val="ListParagraph"/>
        <w:numPr>
          <w:ilvl w:val="0"/>
          <w:numId w:val="5"/>
        </w:numPr>
        <w:spacing w:after="0" w:line="240" w:lineRule="auto"/>
        <w:rPr>
          <w:rFonts w:ascii="Arial" w:eastAsia="Times New Roman" w:hAnsi="Arial" w:cs="Arial"/>
          <w:kern w:val="0"/>
          <w:lang w:eastAsia="en-GB"/>
        </w:rPr>
      </w:pPr>
      <w:r>
        <w:rPr>
          <w:rFonts w:ascii="Arial" w:eastAsia="Times New Roman" w:hAnsi="Arial" w:cs="Arial"/>
          <w:kern w:val="0"/>
          <w:lang w:eastAsia="en-GB"/>
        </w:rPr>
        <w:t xml:space="preserve">Provide confident, authoritative communication across all levels of the organisation, tailoring messages for senior stakeholders and translating complex information into clear, actionable insight. </w:t>
      </w:r>
    </w:p>
    <w:p w14:paraId="1C7F31BA" w14:textId="77777777" w:rsidR="001B1E7C" w:rsidRDefault="00614D38">
      <w:pPr>
        <w:pStyle w:val="ListParagraph"/>
        <w:numPr>
          <w:ilvl w:val="0"/>
          <w:numId w:val="5"/>
        </w:numPr>
        <w:spacing w:after="0" w:line="240" w:lineRule="auto"/>
        <w:rPr>
          <w:rFonts w:ascii="Arial" w:eastAsia="Times New Roman" w:hAnsi="Arial" w:cs="Arial"/>
          <w:kern w:val="0"/>
          <w:lang w:eastAsia="en-GB"/>
        </w:rPr>
      </w:pPr>
      <w:r>
        <w:rPr>
          <w:rFonts w:ascii="Arial" w:eastAsia="Times New Roman" w:hAnsi="Arial" w:cs="Arial"/>
          <w:kern w:val="0"/>
          <w:lang w:eastAsia="en-GB"/>
        </w:rPr>
        <w:t>Champion a culture of transparency, accountability and robust governance through consistent, high</w:t>
      </w:r>
      <w:r>
        <w:rPr>
          <w:rFonts w:ascii="Arial" w:eastAsia="Times New Roman" w:hAnsi="Arial" w:cs="Arial"/>
          <w:kern w:val="0"/>
          <w:lang w:eastAsia="en-GB"/>
        </w:rPr>
        <w:noBreakHyphen/>
        <w:t>quality engagement.</w:t>
      </w:r>
    </w:p>
    <w:p w14:paraId="1C7F31BB" w14:textId="77777777" w:rsidR="001B1E7C" w:rsidRDefault="001B1E7C">
      <w:pPr>
        <w:spacing w:after="0" w:line="240" w:lineRule="auto"/>
      </w:pPr>
    </w:p>
    <w:p w14:paraId="1C7F31BC" w14:textId="77777777" w:rsidR="001B1E7C" w:rsidRDefault="00614D38">
      <w:pPr>
        <w:spacing w:after="0" w:line="240" w:lineRule="auto"/>
        <w:rPr>
          <w:rFonts w:ascii="Arial" w:hAnsi="Arial" w:cs="Arial"/>
          <w:b/>
          <w:bCs/>
          <w:u w:val="single"/>
        </w:rPr>
      </w:pPr>
      <w:r>
        <w:rPr>
          <w:rFonts w:ascii="Arial" w:hAnsi="Arial" w:cs="Arial"/>
          <w:b/>
          <w:bCs/>
          <w:u w:val="single"/>
        </w:rPr>
        <w:t>Person Specification</w:t>
      </w:r>
    </w:p>
    <w:p w14:paraId="1C7F31BD" w14:textId="77777777" w:rsidR="001B1E7C" w:rsidRDefault="001B1E7C">
      <w:pPr>
        <w:spacing w:after="0" w:line="240" w:lineRule="auto"/>
        <w:rPr>
          <w:rFonts w:ascii="Arial" w:hAnsi="Arial" w:cs="Arial"/>
          <w:b/>
          <w:bCs/>
        </w:rPr>
      </w:pPr>
    </w:p>
    <w:p w14:paraId="1C7F31BE" w14:textId="77777777" w:rsidR="001B1E7C" w:rsidRDefault="00614D38">
      <w:pPr>
        <w:spacing w:after="0" w:line="240" w:lineRule="auto"/>
        <w:rPr>
          <w:rFonts w:ascii="Arial" w:hAnsi="Arial" w:cs="Arial"/>
          <w:b/>
          <w:bCs/>
          <w:u w:val="single"/>
        </w:rPr>
      </w:pPr>
      <w:r>
        <w:rPr>
          <w:rFonts w:ascii="Arial" w:hAnsi="Arial" w:cs="Arial"/>
          <w:b/>
          <w:bCs/>
          <w:u w:val="single"/>
        </w:rPr>
        <w:t>Essential</w:t>
      </w:r>
    </w:p>
    <w:p w14:paraId="1C7F31BF" w14:textId="77777777" w:rsidR="001B1E7C" w:rsidRDefault="00614D38">
      <w:pPr>
        <w:numPr>
          <w:ilvl w:val="0"/>
          <w:numId w:val="6"/>
        </w:numPr>
        <w:spacing w:after="0" w:line="240" w:lineRule="auto"/>
        <w:rPr>
          <w:rFonts w:ascii="Arial" w:hAnsi="Arial" w:cs="Arial"/>
        </w:rPr>
      </w:pPr>
      <w:r>
        <w:rPr>
          <w:rFonts w:ascii="Arial" w:hAnsi="Arial" w:cs="Arial"/>
        </w:rPr>
        <w:t>Experience in a governance, board secretariat, or public sector administrative role.</w:t>
      </w:r>
    </w:p>
    <w:p w14:paraId="1C7F31C0" w14:textId="77777777" w:rsidR="001B1E7C" w:rsidRDefault="00614D38">
      <w:pPr>
        <w:pStyle w:val="ListParagraph"/>
        <w:numPr>
          <w:ilvl w:val="0"/>
          <w:numId w:val="6"/>
        </w:numPr>
        <w:spacing w:after="0" w:line="240" w:lineRule="auto"/>
        <w:rPr>
          <w:rFonts w:ascii="Arial" w:hAnsi="Arial" w:cs="Arial"/>
        </w:rPr>
      </w:pPr>
      <w:r>
        <w:rPr>
          <w:rFonts w:ascii="Arial" w:hAnsi="Arial" w:cs="Arial"/>
        </w:rPr>
        <w:t>Exceptional organisational skills, with the ability to plan, prioritise and manage multiple workstreams, deadlines and stakeholder inputs in a fast</w:t>
      </w:r>
      <w:r>
        <w:rPr>
          <w:rFonts w:ascii="Arial" w:hAnsi="Arial" w:cs="Arial"/>
        </w:rPr>
        <w:noBreakHyphen/>
        <w:t>paced governance environment with the ability to manage multiple priorities at the same time.</w:t>
      </w:r>
    </w:p>
    <w:p w14:paraId="1C7F31C1" w14:textId="77777777" w:rsidR="001B1E7C" w:rsidRDefault="00614D38">
      <w:pPr>
        <w:pStyle w:val="ListParagraph"/>
        <w:numPr>
          <w:ilvl w:val="0"/>
          <w:numId w:val="6"/>
        </w:numPr>
        <w:spacing w:after="0" w:line="300" w:lineRule="atLeast"/>
        <w:rPr>
          <w:rFonts w:ascii="Arial" w:eastAsia="Times New Roman" w:hAnsi="Arial" w:cs="Arial"/>
          <w:kern w:val="0"/>
          <w:lang w:eastAsia="en-GB"/>
        </w:rPr>
      </w:pPr>
      <w:r>
        <w:rPr>
          <w:rFonts w:ascii="Arial" w:eastAsia="Times New Roman" w:hAnsi="Arial" w:cs="Arial"/>
          <w:kern w:val="0"/>
          <w:lang w:eastAsia="en-GB"/>
        </w:rPr>
        <w:t>Demonstrates exceptional written and verbal communication skills, with the ability to convey complex information clearly, persuasively and with authority to senior stakeholders, external partners and Members.</w:t>
      </w:r>
    </w:p>
    <w:p w14:paraId="1C7F31C2" w14:textId="77777777" w:rsidR="001B1E7C" w:rsidRDefault="00614D38">
      <w:pPr>
        <w:numPr>
          <w:ilvl w:val="0"/>
          <w:numId w:val="6"/>
        </w:numPr>
        <w:spacing w:after="0" w:line="240" w:lineRule="auto"/>
        <w:rPr>
          <w:rFonts w:ascii="Arial" w:hAnsi="Arial" w:cs="Arial"/>
        </w:rPr>
      </w:pPr>
      <w:r>
        <w:rPr>
          <w:rFonts w:ascii="Arial" w:hAnsi="Arial" w:cs="Arial"/>
        </w:rPr>
        <w:t>Ability to handle confidential information with discretion and professionalism.</w:t>
      </w:r>
    </w:p>
    <w:p w14:paraId="1C7F31C3" w14:textId="77777777" w:rsidR="001B1E7C" w:rsidRDefault="00614D38">
      <w:pPr>
        <w:numPr>
          <w:ilvl w:val="0"/>
          <w:numId w:val="6"/>
        </w:numPr>
        <w:spacing w:after="0" w:line="240" w:lineRule="auto"/>
      </w:pPr>
      <w:r>
        <w:rPr>
          <w:rFonts w:ascii="Arial" w:hAnsi="Arial" w:cs="Arial"/>
        </w:rPr>
        <w:t>Familiarity with UK public sector governance and policy frameworks including knowledge</w:t>
      </w:r>
      <w:r>
        <w:rPr>
          <w:rFonts w:ascii="Arial" w:hAnsi="Arial" w:cs="Arial"/>
          <w:kern w:val="0"/>
        </w:rPr>
        <w:t xml:space="preserve"> </w:t>
      </w:r>
      <w:r>
        <w:rPr>
          <w:rFonts w:ascii="Arial" w:hAnsi="Arial" w:cs="Arial"/>
        </w:rPr>
        <w:t>of how public bodies formulate policy, deliver services, and are held accountable is essential. Public sector governance requires understanding how institutions operate, how evidence informs decisions, and how organisations are structured. This includes:</w:t>
      </w:r>
    </w:p>
    <w:p w14:paraId="1C7F31C4" w14:textId="77777777" w:rsidR="001B1E7C" w:rsidRDefault="00614D38">
      <w:pPr>
        <w:numPr>
          <w:ilvl w:val="1"/>
          <w:numId w:val="6"/>
        </w:numPr>
        <w:spacing w:after="0" w:line="240" w:lineRule="auto"/>
        <w:rPr>
          <w:rFonts w:ascii="Arial" w:hAnsi="Arial" w:cs="Arial"/>
        </w:rPr>
      </w:pPr>
      <w:r>
        <w:rPr>
          <w:rFonts w:ascii="Arial" w:hAnsi="Arial" w:cs="Arial"/>
        </w:rPr>
        <w:t xml:space="preserve">How public bodies plan strategically. </w:t>
      </w:r>
    </w:p>
    <w:p w14:paraId="1C7F31C5" w14:textId="77777777" w:rsidR="001B1E7C" w:rsidRDefault="00614D38">
      <w:pPr>
        <w:numPr>
          <w:ilvl w:val="1"/>
          <w:numId w:val="6"/>
        </w:numPr>
        <w:spacing w:after="0" w:line="240" w:lineRule="auto"/>
        <w:rPr>
          <w:rFonts w:ascii="Arial" w:hAnsi="Arial" w:cs="Arial"/>
        </w:rPr>
      </w:pPr>
      <w:r>
        <w:rPr>
          <w:rFonts w:ascii="Arial" w:hAnsi="Arial" w:cs="Arial"/>
        </w:rPr>
        <w:t xml:space="preserve">How executive teams deliver against plans. </w:t>
      </w:r>
    </w:p>
    <w:p w14:paraId="1C7F31C6" w14:textId="77777777" w:rsidR="001B1E7C" w:rsidRDefault="00614D38">
      <w:pPr>
        <w:numPr>
          <w:ilvl w:val="1"/>
          <w:numId w:val="6"/>
        </w:numPr>
        <w:spacing w:after="0" w:line="240" w:lineRule="auto"/>
        <w:rPr>
          <w:rFonts w:ascii="Arial" w:hAnsi="Arial" w:cs="Arial"/>
        </w:rPr>
      </w:pPr>
      <w:r>
        <w:rPr>
          <w:rFonts w:ascii="Arial" w:hAnsi="Arial" w:cs="Arial"/>
        </w:rPr>
        <w:t>How governance teams assure performance and compliance.</w:t>
      </w:r>
    </w:p>
    <w:p w14:paraId="1C7F31C7" w14:textId="77777777" w:rsidR="001B1E7C" w:rsidRDefault="00614D38">
      <w:pPr>
        <w:numPr>
          <w:ilvl w:val="0"/>
          <w:numId w:val="6"/>
        </w:numPr>
        <w:spacing w:after="0" w:line="240" w:lineRule="auto"/>
        <w:rPr>
          <w:rFonts w:ascii="Arial" w:hAnsi="Arial" w:cs="Arial"/>
        </w:rPr>
      </w:pPr>
      <w:r>
        <w:rPr>
          <w:rFonts w:ascii="Arial" w:hAnsi="Arial" w:cs="Arial"/>
        </w:rPr>
        <w:t>Proficient in Microsoft Office and document management systems, with experience in board portals and board-specific software.</w:t>
      </w:r>
    </w:p>
    <w:p w14:paraId="1C7F31C8" w14:textId="77777777" w:rsidR="001B1E7C" w:rsidRDefault="00614D38">
      <w:pPr>
        <w:pStyle w:val="ListParagraph"/>
        <w:numPr>
          <w:ilvl w:val="0"/>
          <w:numId w:val="6"/>
        </w:numPr>
        <w:spacing w:after="0" w:line="240" w:lineRule="auto"/>
        <w:rPr>
          <w:rFonts w:ascii="Arial" w:hAnsi="Arial" w:cs="Arial"/>
        </w:rPr>
      </w:pPr>
      <w:r>
        <w:rPr>
          <w:rFonts w:ascii="Arial" w:hAnsi="Arial" w:cs="Arial"/>
        </w:rPr>
        <w:t>Strong commissioning and follow</w:t>
      </w:r>
      <w:r>
        <w:rPr>
          <w:rFonts w:ascii="Arial" w:hAnsi="Arial" w:cs="Arial"/>
        </w:rPr>
        <w:noBreakHyphen/>
        <w:t>up skills, able to clarify requirements, track progress, and ensure high</w:t>
      </w:r>
      <w:r>
        <w:rPr>
          <w:rFonts w:ascii="Arial" w:hAnsi="Arial" w:cs="Arial"/>
        </w:rPr>
        <w:noBreakHyphen/>
        <w:t>quality contributions from the Force, Executive team and external stakeholders.</w:t>
      </w:r>
    </w:p>
    <w:p w14:paraId="1C7F31C9" w14:textId="77777777" w:rsidR="001B1E7C" w:rsidRDefault="001B1E7C">
      <w:pPr>
        <w:spacing w:after="0" w:line="240" w:lineRule="auto"/>
        <w:ind w:left="720"/>
        <w:rPr>
          <w:rFonts w:ascii="Arial" w:hAnsi="Arial" w:cs="Arial"/>
        </w:rPr>
      </w:pPr>
    </w:p>
    <w:p w14:paraId="1C7F31CA" w14:textId="77777777" w:rsidR="001B1E7C" w:rsidRDefault="00614D38">
      <w:pPr>
        <w:spacing w:after="0" w:line="240" w:lineRule="auto"/>
        <w:rPr>
          <w:rFonts w:ascii="Arial" w:hAnsi="Arial" w:cs="Arial"/>
          <w:b/>
          <w:bCs/>
          <w:u w:val="single"/>
        </w:rPr>
      </w:pPr>
      <w:r>
        <w:rPr>
          <w:rFonts w:ascii="Arial" w:hAnsi="Arial" w:cs="Arial"/>
          <w:b/>
          <w:bCs/>
          <w:u w:val="single"/>
        </w:rPr>
        <w:t>Desirable</w:t>
      </w:r>
    </w:p>
    <w:p w14:paraId="1C7F31CB" w14:textId="77777777" w:rsidR="001B1E7C" w:rsidRDefault="00614D38">
      <w:pPr>
        <w:numPr>
          <w:ilvl w:val="0"/>
          <w:numId w:val="7"/>
        </w:numPr>
        <w:spacing w:after="0" w:line="240" w:lineRule="auto"/>
        <w:rPr>
          <w:rFonts w:ascii="Arial" w:hAnsi="Arial" w:cs="Arial"/>
        </w:rPr>
      </w:pPr>
      <w:r>
        <w:rPr>
          <w:rFonts w:ascii="Arial" w:hAnsi="Arial" w:cs="Arial"/>
        </w:rPr>
        <w:t>Interest in working towards or holding a Chartered Governance Institute (CGI) qualification or equivalent.</w:t>
      </w:r>
    </w:p>
    <w:p w14:paraId="1C7F31CC" w14:textId="77777777" w:rsidR="001B1E7C" w:rsidRDefault="00614D38">
      <w:pPr>
        <w:numPr>
          <w:ilvl w:val="0"/>
          <w:numId w:val="7"/>
        </w:numPr>
        <w:spacing w:after="0" w:line="240" w:lineRule="auto"/>
        <w:rPr>
          <w:rFonts w:ascii="Arial" w:hAnsi="Arial" w:cs="Arial"/>
        </w:rPr>
      </w:pPr>
      <w:r>
        <w:rPr>
          <w:rFonts w:ascii="Arial" w:hAnsi="Arial" w:cs="Arial"/>
        </w:rPr>
        <w:t>Experience supporting boards and / or committees.</w:t>
      </w:r>
    </w:p>
    <w:p w14:paraId="1C7F31CD" w14:textId="77777777" w:rsidR="001B1E7C" w:rsidRDefault="00614D38">
      <w:pPr>
        <w:numPr>
          <w:ilvl w:val="0"/>
          <w:numId w:val="7"/>
        </w:numPr>
        <w:spacing w:after="0" w:line="240" w:lineRule="auto"/>
        <w:rPr>
          <w:rFonts w:ascii="Arial" w:hAnsi="Arial" w:cs="Arial"/>
        </w:rPr>
      </w:pPr>
      <w:r>
        <w:rPr>
          <w:rFonts w:ascii="Arial" w:hAnsi="Arial" w:cs="Arial"/>
        </w:rPr>
        <w:t>Experience of leveraging AI tools to enhance board and committee operations and support.</w:t>
      </w:r>
    </w:p>
    <w:p w14:paraId="1C7F31CE" w14:textId="77777777" w:rsidR="001B1E7C" w:rsidRDefault="00614D38">
      <w:pPr>
        <w:numPr>
          <w:ilvl w:val="0"/>
          <w:numId w:val="7"/>
        </w:numPr>
        <w:spacing w:after="0" w:line="240" w:lineRule="auto"/>
        <w:rPr>
          <w:rFonts w:ascii="Arial" w:hAnsi="Arial" w:cs="Arial"/>
        </w:rPr>
      </w:pPr>
      <w:r>
        <w:rPr>
          <w:rFonts w:ascii="Arial" w:hAnsi="Arial" w:cs="Arial"/>
        </w:rPr>
        <w:t>Understanding of the Railways and Transport Safety Act 2003 or similar legislation.</w:t>
      </w:r>
    </w:p>
    <w:p w14:paraId="1C7F31CF" w14:textId="77777777" w:rsidR="001B1E7C" w:rsidRDefault="00614D38">
      <w:pPr>
        <w:numPr>
          <w:ilvl w:val="0"/>
          <w:numId w:val="7"/>
        </w:numPr>
        <w:spacing w:after="0" w:line="240" w:lineRule="auto"/>
        <w:rPr>
          <w:rFonts w:ascii="Arial" w:hAnsi="Arial" w:cs="Arial"/>
        </w:rPr>
      </w:pPr>
      <w:r>
        <w:rPr>
          <w:rFonts w:ascii="Arial" w:hAnsi="Arial" w:cs="Arial"/>
        </w:rPr>
        <w:lastRenderedPageBreak/>
        <w:t>Understanding of Nolan Principles, conflict</w:t>
      </w:r>
      <w:r>
        <w:rPr>
          <w:rFonts w:ascii="Arial" w:hAnsi="Arial" w:cs="Arial"/>
        </w:rPr>
        <w:noBreakHyphen/>
        <w:t>of</w:t>
      </w:r>
      <w:r>
        <w:rPr>
          <w:rFonts w:ascii="Arial" w:hAnsi="Arial" w:cs="Arial"/>
        </w:rPr>
        <w:noBreakHyphen/>
        <w:t>interest rules, codes of conduct including the Cabinet Office Code of Conduct for Members of Public Bodies.</w:t>
      </w:r>
    </w:p>
    <w:p w14:paraId="7841FAF4" w14:textId="77777777" w:rsidR="0020210A" w:rsidRDefault="00614D38" w:rsidP="0020210A">
      <w:pPr>
        <w:numPr>
          <w:ilvl w:val="0"/>
          <w:numId w:val="7"/>
        </w:numPr>
        <w:spacing w:after="0" w:line="240" w:lineRule="auto"/>
      </w:pPr>
      <w:r>
        <w:rPr>
          <w:rFonts w:ascii="Arial" w:hAnsi="Arial" w:cs="Arial"/>
        </w:rPr>
        <w:t xml:space="preserve">Understanding and knowledge of the rail industry, policing and Arm’s Length Bodies operating under central government departments.  </w:t>
      </w:r>
    </w:p>
    <w:p w14:paraId="7C80E626" w14:textId="77777777" w:rsidR="0020210A" w:rsidRDefault="0020210A" w:rsidP="0020210A">
      <w:pPr>
        <w:spacing w:after="0" w:line="240" w:lineRule="auto"/>
        <w:ind w:left="720"/>
      </w:pPr>
    </w:p>
    <w:p w14:paraId="4F6FFA78" w14:textId="77777777" w:rsidR="0020210A" w:rsidRDefault="0020210A" w:rsidP="0020210A">
      <w:pPr>
        <w:pStyle w:val="Itembody"/>
        <w:spacing w:line="240" w:lineRule="auto"/>
        <w:jc w:val="both"/>
        <w:rPr>
          <w:rFonts w:ascii="Arial" w:hAnsi="Arial" w:cs="Arial"/>
          <w:szCs w:val="24"/>
        </w:rPr>
      </w:pPr>
    </w:p>
    <w:p w14:paraId="19E4D991" w14:textId="025DEA70" w:rsidR="0020210A" w:rsidRPr="0020210A" w:rsidRDefault="0020210A" w:rsidP="0020210A">
      <w:pPr>
        <w:pStyle w:val="Itembody"/>
        <w:spacing w:line="240" w:lineRule="auto"/>
        <w:jc w:val="both"/>
        <w:rPr>
          <w:rFonts w:ascii="Arial" w:hAnsi="Arial" w:cs="Arial"/>
          <w:b/>
          <w:bCs/>
          <w:szCs w:val="24"/>
          <w:u w:val="single"/>
        </w:rPr>
      </w:pPr>
      <w:r w:rsidRPr="0020210A">
        <w:rPr>
          <w:rFonts w:ascii="Arial" w:hAnsi="Arial" w:cs="Arial"/>
          <w:b/>
          <w:bCs/>
          <w:szCs w:val="24"/>
          <w:u w:val="single"/>
        </w:rPr>
        <w:t xml:space="preserve">Selection process </w:t>
      </w:r>
    </w:p>
    <w:p w14:paraId="45896149" w14:textId="77777777" w:rsidR="0020210A" w:rsidRDefault="0020210A" w:rsidP="0020210A">
      <w:pPr>
        <w:pStyle w:val="Itembody"/>
        <w:spacing w:line="240" w:lineRule="auto"/>
        <w:jc w:val="both"/>
        <w:rPr>
          <w:rFonts w:ascii="Arial" w:hAnsi="Arial" w:cs="Arial"/>
          <w:szCs w:val="24"/>
        </w:rPr>
      </w:pPr>
    </w:p>
    <w:p w14:paraId="094E31FF" w14:textId="7FB7090C" w:rsidR="0020210A" w:rsidRPr="0020210A" w:rsidRDefault="0020210A" w:rsidP="0020210A">
      <w:pPr>
        <w:pStyle w:val="Itembody"/>
        <w:spacing w:line="240" w:lineRule="auto"/>
        <w:jc w:val="both"/>
        <w:rPr>
          <w:rFonts w:ascii="Arial" w:hAnsi="Arial" w:cs="Arial"/>
          <w:szCs w:val="24"/>
        </w:rPr>
      </w:pPr>
      <w:r w:rsidRPr="0020210A">
        <w:rPr>
          <w:rFonts w:ascii="Arial" w:hAnsi="Arial" w:cs="Arial"/>
          <w:szCs w:val="24"/>
        </w:rPr>
        <w:t>To apply please submit a two-page CV and a supporting statement, of no more than two pages of A4</w:t>
      </w:r>
      <w:r w:rsidR="00296765">
        <w:rPr>
          <w:rFonts w:ascii="Arial" w:hAnsi="Arial" w:cs="Arial"/>
          <w:szCs w:val="24"/>
        </w:rPr>
        <w:t xml:space="preserve"> (both </w:t>
      </w:r>
      <w:r w:rsidRPr="0020210A">
        <w:rPr>
          <w:rFonts w:ascii="Arial" w:hAnsi="Arial" w:cs="Arial"/>
          <w:szCs w:val="24"/>
        </w:rPr>
        <w:t xml:space="preserve">Arial font </w:t>
      </w:r>
      <w:r w:rsidR="00296765">
        <w:rPr>
          <w:rFonts w:ascii="Arial" w:hAnsi="Arial" w:cs="Arial"/>
          <w:szCs w:val="24"/>
        </w:rPr>
        <w:t>size 12)</w:t>
      </w:r>
      <w:r w:rsidRPr="0020210A">
        <w:rPr>
          <w:rFonts w:ascii="Arial" w:hAnsi="Arial" w:cs="Arial"/>
          <w:szCs w:val="24"/>
        </w:rPr>
        <w:t xml:space="preserve">, providing clear examples of how you meet the essential criteria as listed. </w:t>
      </w:r>
    </w:p>
    <w:p w14:paraId="17E0B11F" w14:textId="77777777" w:rsidR="0020210A" w:rsidRPr="0020210A" w:rsidRDefault="0020210A" w:rsidP="0020210A">
      <w:pPr>
        <w:pStyle w:val="Itembody"/>
        <w:spacing w:line="240" w:lineRule="auto"/>
        <w:jc w:val="both"/>
        <w:rPr>
          <w:rFonts w:ascii="Arial" w:hAnsi="Arial" w:cs="Arial"/>
          <w:szCs w:val="24"/>
        </w:rPr>
      </w:pPr>
    </w:p>
    <w:p w14:paraId="21F7AF8E" w14:textId="77777777" w:rsidR="0020210A" w:rsidRDefault="0020210A" w:rsidP="0020210A">
      <w:pPr>
        <w:pStyle w:val="Itembody"/>
        <w:spacing w:line="240" w:lineRule="auto"/>
        <w:jc w:val="both"/>
        <w:rPr>
          <w:rFonts w:ascii="Arial" w:hAnsi="Arial" w:cs="Arial"/>
          <w:szCs w:val="24"/>
        </w:rPr>
      </w:pPr>
      <w:r w:rsidRPr="0020210A">
        <w:rPr>
          <w:rFonts w:ascii="Arial" w:hAnsi="Arial" w:cs="Arial"/>
          <w:szCs w:val="24"/>
        </w:rPr>
        <w:t xml:space="preserve">The evidence should be specific and focused on your personal involvement, experience, actions and the resultant outcome. </w:t>
      </w:r>
    </w:p>
    <w:p w14:paraId="57BDC64B" w14:textId="77777777" w:rsidR="002E4F7E" w:rsidRDefault="002E4F7E" w:rsidP="0020210A">
      <w:pPr>
        <w:pStyle w:val="Itembody"/>
        <w:spacing w:line="240" w:lineRule="auto"/>
        <w:jc w:val="both"/>
        <w:rPr>
          <w:rFonts w:ascii="Arial" w:hAnsi="Arial" w:cs="Arial"/>
          <w:szCs w:val="24"/>
        </w:rPr>
      </w:pPr>
    </w:p>
    <w:p w14:paraId="4051C430" w14:textId="5D528EC9" w:rsidR="002E4F7E" w:rsidRPr="0020210A" w:rsidRDefault="002E4F7E" w:rsidP="0020210A">
      <w:pPr>
        <w:pStyle w:val="Itembody"/>
        <w:spacing w:line="240" w:lineRule="auto"/>
        <w:jc w:val="both"/>
        <w:rPr>
          <w:rFonts w:ascii="Arial" w:hAnsi="Arial" w:cs="Arial"/>
          <w:szCs w:val="24"/>
        </w:rPr>
      </w:pPr>
      <w:r>
        <w:rPr>
          <w:rFonts w:ascii="Arial" w:hAnsi="Arial" w:cs="Arial"/>
          <w:szCs w:val="24"/>
        </w:rPr>
        <w:t xml:space="preserve">Interviews will be held in person at </w:t>
      </w:r>
      <w:r>
        <w:rPr>
          <w:rFonts w:ascii="Arial" w:hAnsi="Arial" w:cs="Arial"/>
        </w:rPr>
        <w:t>British Transport Police Authority (BTPA), 200 Buckingham Palace Road, London, SW1W 9TJ.</w:t>
      </w:r>
    </w:p>
    <w:p w14:paraId="08AA5366" w14:textId="77777777" w:rsidR="0020210A" w:rsidRDefault="0020210A"/>
    <w:sectPr w:rsidR="0020210A">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40DA" w14:textId="77777777" w:rsidR="00FB3BC4" w:rsidRDefault="00FB3BC4">
      <w:pPr>
        <w:spacing w:after="0" w:line="240" w:lineRule="auto"/>
      </w:pPr>
      <w:r>
        <w:separator/>
      </w:r>
    </w:p>
  </w:endnote>
  <w:endnote w:type="continuationSeparator" w:id="0">
    <w:p w14:paraId="2771C227" w14:textId="77777777" w:rsidR="00FB3BC4" w:rsidRDefault="00FB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Book">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13B1" w14:textId="77777777" w:rsidR="00FB3BC4" w:rsidRDefault="00FB3BC4">
      <w:pPr>
        <w:spacing w:after="0" w:line="240" w:lineRule="auto"/>
      </w:pPr>
      <w:r>
        <w:rPr>
          <w:color w:val="000000"/>
        </w:rPr>
        <w:separator/>
      </w:r>
    </w:p>
  </w:footnote>
  <w:footnote w:type="continuationSeparator" w:id="0">
    <w:p w14:paraId="4186A995" w14:textId="77777777" w:rsidR="00FB3BC4" w:rsidRDefault="00FB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3197" w14:textId="77777777" w:rsidR="00614D38" w:rsidRDefault="00614D38">
    <w:pPr>
      <w:pStyle w:val="Header"/>
    </w:pPr>
    <w:r>
      <w:rPr>
        <w:noProof/>
      </w:rPr>
      <mc:AlternateContent>
        <mc:Choice Requires="wps">
          <w:drawing>
            <wp:anchor distT="0" distB="0" distL="114300" distR="114300" simplePos="0" relativeHeight="251659264" behindDoc="0" locked="0" layoutInCell="1" allowOverlap="1" wp14:anchorId="1C7F318F" wp14:editId="1C7F3190">
              <wp:simplePos x="0" y="0"/>
              <wp:positionH relativeFrom="page">
                <wp:align>center</wp:align>
              </wp:positionH>
              <wp:positionV relativeFrom="page">
                <wp:align>top</wp:align>
              </wp:positionV>
              <wp:extent cx="571500" cy="359414"/>
              <wp:effectExtent l="0" t="0" r="0" b="2536"/>
              <wp:wrapNone/>
              <wp:docPr id="766662065" name="Text Box 3" descr="OFFICIAL"/>
              <wp:cNvGraphicFramePr/>
              <a:graphic xmlns:a="http://schemas.openxmlformats.org/drawingml/2006/main">
                <a:graphicData uri="http://schemas.microsoft.com/office/word/2010/wordprocessingShape">
                  <wps:wsp>
                    <wps:cNvSpPr txBox="1"/>
                    <wps:spPr>
                      <a:xfrm>
                        <a:off x="0" y="0"/>
                        <a:ext cx="571500" cy="359414"/>
                      </a:xfrm>
                      <a:prstGeom prst="rect">
                        <a:avLst/>
                      </a:prstGeom>
                      <a:noFill/>
                      <a:ln>
                        <a:noFill/>
                        <a:prstDash/>
                      </a:ln>
                    </wps:spPr>
                    <wps:txbx>
                      <w:txbxContent>
                        <w:p w14:paraId="1C7F3191" w14:textId="77777777" w:rsidR="00614D38" w:rsidRDefault="00614D38">
                          <w:pPr>
                            <w:spacing w:after="0"/>
                            <w:rPr>
                              <w:rFonts w:ascii="Arial" w:eastAsia="Arial" w:hAnsi="Arial" w:cs="Arial"/>
                              <w:color w:val="000000"/>
                              <w:sz w:val="20"/>
                              <w:szCs w:val="20"/>
                            </w:rPr>
                          </w:pPr>
                          <w:r>
                            <w:rPr>
                              <w:rFonts w:ascii="Arial" w:eastAsia="Arial" w:hAnsi="Arial" w:cs="Arial"/>
                              <w:color w:val="000000"/>
                              <w:sz w:val="20"/>
                              <w:szCs w:val="20"/>
                            </w:rPr>
                            <w:t>OFFICIAL</w:t>
                          </w:r>
                        </w:p>
                      </w:txbxContent>
                    </wps:txbx>
                    <wps:bodyPr vert="horz" wrap="none" lIns="0" tIns="190496" rIns="0" bIns="0" anchor="t" anchorCtr="0" compatLnSpc="1">
                      <a:spAutoFit/>
                    </wps:bodyPr>
                  </wps:wsp>
                </a:graphicData>
              </a:graphic>
            </wp:anchor>
          </w:drawing>
        </mc:Choice>
        <mc:Fallback>
          <w:pict>
            <v:shapetype w14:anchorId="1C7F318F" id="_x0000_t202" coordsize="21600,21600" o:spt="202" path="m,l,21600r21600,l21600,xe">
              <v:stroke joinstyle="miter"/>
              <v:path gradientshapeok="t" o:connecttype="rect"/>
            </v:shapetype>
            <v:shape id="Text Box 3" o:spid="_x0000_s1026" type="#_x0000_t202" alt="OFFICIAL" style="position:absolute;margin-left:0;margin-top:0;width:45pt;height:28.3pt;z-index:25165926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" filled="f" stroked="f">
              <v:textbox style="mso-fit-shape-to-text:t" inset="0,5.29156mm,0,0">
                <w:txbxContent>
                  <w:p w14:paraId="1C7F3191" w14:textId="77777777" w:rsidR="00614D38" w:rsidRDefault="00614D38">
                    <w:pPr>
                      <w:spacing w:after="0"/>
                      <w:rPr>
                        <w:rFonts w:ascii="Arial" w:eastAsia="Arial" w:hAnsi="Arial" w:cs="Arial"/>
                        <w:color w:val="000000"/>
                        <w:sz w:val="20"/>
                        <w:szCs w:val="20"/>
                      </w:rPr>
                    </w:pPr>
                    <w:r>
                      <w:rPr>
                        <w:rFonts w:ascii="Arial" w:eastAsia="Arial" w:hAnsi="Arial" w:cs="Arial"/>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553"/>
    <w:multiLevelType w:val="multilevel"/>
    <w:tmpl w:val="D9845E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9F6752"/>
    <w:multiLevelType w:val="multilevel"/>
    <w:tmpl w:val="09EAB2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A024702"/>
    <w:multiLevelType w:val="multilevel"/>
    <w:tmpl w:val="BA2CA0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B2B490C"/>
    <w:multiLevelType w:val="multilevel"/>
    <w:tmpl w:val="4B2430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39A57F6"/>
    <w:multiLevelType w:val="multilevel"/>
    <w:tmpl w:val="816A25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2C365F6"/>
    <w:multiLevelType w:val="multilevel"/>
    <w:tmpl w:val="C9F8B5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4425114"/>
    <w:multiLevelType w:val="multilevel"/>
    <w:tmpl w:val="80C2FB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9720104">
    <w:abstractNumId w:val="2"/>
  </w:num>
  <w:num w:numId="2" w16cid:durableId="1769233395">
    <w:abstractNumId w:val="1"/>
  </w:num>
  <w:num w:numId="3" w16cid:durableId="1340159003">
    <w:abstractNumId w:val="5"/>
  </w:num>
  <w:num w:numId="4" w16cid:durableId="1484157296">
    <w:abstractNumId w:val="0"/>
  </w:num>
  <w:num w:numId="5" w16cid:durableId="1573731010">
    <w:abstractNumId w:val="3"/>
  </w:num>
  <w:num w:numId="6" w16cid:durableId="1656717265">
    <w:abstractNumId w:val="6"/>
  </w:num>
  <w:num w:numId="7" w16cid:durableId="1970354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7C"/>
    <w:rsid w:val="001B1E7C"/>
    <w:rsid w:val="0020210A"/>
    <w:rsid w:val="00220EA5"/>
    <w:rsid w:val="00296765"/>
    <w:rsid w:val="002E4F7E"/>
    <w:rsid w:val="00496A72"/>
    <w:rsid w:val="00614D38"/>
    <w:rsid w:val="00743A87"/>
    <w:rsid w:val="00C50C37"/>
    <w:rsid w:val="00D91B7D"/>
    <w:rsid w:val="00E2042C"/>
    <w:rsid w:val="00FB3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318F"/>
  <w15:docId w15:val="{682ADB5D-0E0D-4632-AE8D-54F63B77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Revision">
    <w:name w:val="Revision"/>
    <w:pPr>
      <w:suppressAutoHyphens/>
      <w:spacing w:after="0" w:line="240" w:lineRule="auto"/>
    </w:pPr>
  </w:style>
  <w:style w:type="paragraph" w:styleId="NormalWeb">
    <w:name w:val="Normal (Web)"/>
    <w:basedOn w:val="Normal"/>
    <w:pPr>
      <w:spacing w:before="100" w:after="100" w:line="240" w:lineRule="auto"/>
    </w:pPr>
    <w:rPr>
      <w:rFonts w:ascii="Times New Roman" w:eastAsia="Times New Roman" w:hAnsi="Times New Roman"/>
      <w:kern w:val="0"/>
      <w:lang w:eastAsia="en-GB"/>
    </w:rPr>
  </w:style>
  <w:style w:type="character" w:styleId="Emphasis">
    <w:name w:val="Emphasis"/>
    <w:basedOn w:val="DefaultParagraphFont"/>
    <w:rPr>
      <w:i/>
      <w:iCs/>
    </w:rPr>
  </w:style>
  <w:style w:type="paragraph" w:customStyle="1" w:styleId="Itembody">
    <w:name w:val="Item body"/>
    <w:basedOn w:val="Normal"/>
    <w:rsid w:val="0020210A"/>
    <w:pPr>
      <w:suppressAutoHyphens w:val="0"/>
      <w:autoSpaceDN/>
      <w:spacing w:after="0" w:line="360" w:lineRule="auto"/>
      <w:ind w:left="-567"/>
    </w:pPr>
    <w:rPr>
      <w:rFonts w:ascii="Gotham-Book" w:eastAsia="Times New Roman" w:hAnsi="Gotham-Book"/>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7762</Characters>
  <Application>Microsoft Office Word</Application>
  <DocSecurity>0</DocSecurity>
  <Lines>166</Lines>
  <Paragraphs>56</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Kohler [7555]</dc:creator>
  <dc:description/>
  <cp:lastModifiedBy>Joe Boyle [6682]</cp:lastModifiedBy>
  <cp:revision>3</cp:revision>
  <dcterms:created xsi:type="dcterms:W3CDTF">2026-03-30T14:31:00Z</dcterms:created>
  <dcterms:modified xsi:type="dcterms:W3CDTF">2026-03-30T14:31:00Z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6af62f3,145785a9,277dcb6c</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2025-10-22T15:37:51Z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ce4ed6de-ff8d-41fc-aeab-7c5f57401eb0</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